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FC6380" w14:textId="77777777" w:rsidR="00FE7E27" w:rsidRPr="00FE7E27" w:rsidRDefault="00FE7E27" w:rsidP="00FE7E27">
      <w:pPr>
        <w:spacing w:after="0" w:line="240" w:lineRule="auto"/>
        <w:jc w:val="both"/>
        <w:rPr>
          <w:rFonts w:cstheme="minorHAnsi"/>
          <w:b/>
          <w:bCs/>
          <w:sz w:val="20"/>
          <w:szCs w:val="20"/>
        </w:rPr>
      </w:pPr>
      <w:r w:rsidRPr="00FE7E27">
        <w:rPr>
          <w:rFonts w:cstheme="minorHAnsi"/>
          <w:b/>
          <w:bCs/>
          <w:sz w:val="20"/>
          <w:szCs w:val="20"/>
        </w:rPr>
        <w:t>Глава 27. РАЗВЕДКА ТВЕРДЫХ ПОЛЕЗНЫХ ИСКОПАЕМЫХ</w:t>
      </w:r>
    </w:p>
    <w:p w14:paraId="5ADAD011" w14:textId="3D6AF3AE"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 xml:space="preserve"> Статья 185. Лицензия на разведку твердых полезных ископаемых</w:t>
      </w:r>
    </w:p>
    <w:p w14:paraId="176D0348"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По лицензии на разведку твердых полезных ископаемых ее обладатель имеет исключительное право пользоваться участком недр в целях проведения операций по разведке твердых полезных ископаемых, включающей поиск месторождений твердых полезных ископаемых и оценку их ресурсов и запасов для последующей добычи.</w:t>
      </w:r>
    </w:p>
    <w:p w14:paraId="4C23923C"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 </w:t>
      </w:r>
    </w:p>
    <w:p w14:paraId="0BADE0AA"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Статья 186. Территории для выдачи лицензии на разведку твердых полезных ископаемых</w:t>
      </w:r>
    </w:p>
    <w:p w14:paraId="28909D92"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Лицензия на разведку твердых полезных ископаемых выдается по территориям, определяемым программой управления государственным фондом недр.</w:t>
      </w:r>
    </w:p>
    <w:p w14:paraId="4EF9AC46"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Выдача лицензии на разведку твердых полезных ископаемых не допускается:</w:t>
      </w:r>
    </w:p>
    <w:p w14:paraId="5B52E925"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в случаях, предусмотренных пунктом 2 статьи 25 настоящего Кодекса;</w:t>
      </w:r>
    </w:p>
    <w:p w14:paraId="16C729FA" w14:textId="77777777" w:rsidR="00FE7E27" w:rsidRPr="00FE7E27" w:rsidRDefault="00FE7E27" w:rsidP="00FE7E27">
      <w:pPr>
        <w:spacing w:after="0" w:line="240" w:lineRule="auto"/>
        <w:jc w:val="both"/>
        <w:rPr>
          <w:rFonts w:cstheme="minorHAnsi"/>
          <w:sz w:val="20"/>
          <w:szCs w:val="20"/>
        </w:rPr>
      </w:pPr>
    </w:p>
    <w:p w14:paraId="71A2271F"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Статья 25. Территории, ограниченные для проведения операций по недропользованию</w:t>
      </w:r>
    </w:p>
    <w:p w14:paraId="74C3BF27"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1. Если иное не предусмотрено настоящей статьей, запрещается проведение операций по недропользованию:</w:t>
      </w:r>
    </w:p>
    <w:p w14:paraId="148934C8"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1) на территории земель для нужд обороны и национальной безопасности;</w:t>
      </w:r>
    </w:p>
    <w:p w14:paraId="6EBA88A3"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2) на территории земель населенных пунктов и прилегающих к ним территориях на расстоянии одной тысячи метров;</w:t>
      </w:r>
    </w:p>
    <w:p w14:paraId="0518C6F6"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3) на территории земельного участка, занятого действующим гидротехническим сооружением, не являющимся объектом размещения техногенных минеральных образований горно-обогатительных производств, и прилегающей к нему территории на расстоянии четырехсот метров;</w:t>
      </w:r>
    </w:p>
    <w:p w14:paraId="229574A8"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4) на территории земель водного фонда;</w:t>
      </w:r>
    </w:p>
    <w:p w14:paraId="5AA907BA"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5) в контурах месторождений и участков подземных вод, которые используются или могут быть использованы для питьевого водоснабжения;</w:t>
      </w:r>
    </w:p>
    <w:p w14:paraId="219A5B57"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6) на расстоянии ста метров от могильников, могил и кладбищ, а также от земельных участков, отведенных под могильники и кладбища;</w:t>
      </w:r>
    </w:p>
    <w:p w14:paraId="39AEDA3E"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7) на территории земельных участков, принадлежащих третьим лицам и занятых зданиями и сооружениями, многолетними насаждениями, и прилегающих к ним территориях на расстоянии ста метров - без согласия таких лиц;</w:t>
      </w:r>
    </w:p>
    <w:p w14:paraId="03F75ADD"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8) на территории земель, занятых автомобильными и железными дорогами, аэропортами, аэродромами, объектами аэронавигации и авиатехнических центров, объектами железнодорожного транспорта, мостами, метрополитенами, тоннелями, объектами энергетических систем и линий электропередачи, линиями связи, объектами, обеспечивающими космическую деятельность, магистральными трубопроводами;</w:t>
      </w:r>
    </w:p>
    <w:p w14:paraId="436577B3"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9) на территориях участков недр, выделенных государственным юридическим лицам для государственных нужд;</w:t>
      </w:r>
    </w:p>
    <w:p w14:paraId="26ADD656"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10) на других территориях, на которых запрещается проведение операций по недропользованию в соответствии с иными законами Республики Казахстан.</w:t>
      </w:r>
    </w:p>
    <w:p w14:paraId="76045F94" w14:textId="77777777" w:rsidR="00FE7E27" w:rsidRPr="00FE7E27" w:rsidRDefault="00FE7E27" w:rsidP="00FE7E27">
      <w:pPr>
        <w:spacing w:after="0" w:line="240" w:lineRule="auto"/>
        <w:jc w:val="both"/>
        <w:rPr>
          <w:rFonts w:cstheme="minorHAnsi"/>
          <w:sz w:val="20"/>
          <w:szCs w:val="20"/>
        </w:rPr>
      </w:pPr>
    </w:p>
    <w:p w14:paraId="20D3B5C4"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в отношении блока, полностью расположенного в пределах территории участка недр, находящегося в пользовании у другого лица для проведения операций по добыче углеводородов, без его согласия;</w:t>
      </w:r>
    </w:p>
    <w:p w14:paraId="74F0E390"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3) в отношении блока, полностью расположенного в пределах территории участка недр, предоставленного для проведения операций по использованию пространства недр;</w:t>
      </w:r>
    </w:p>
    <w:p w14:paraId="5856F077"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4) в отношении блока, полностью или частично относящегося к территории участка разведки твердых полезных ископаемых по другой лицензии на разведку твердых полезных ископаемых;</w:t>
      </w:r>
    </w:p>
    <w:p w14:paraId="1A53E777"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5) в отношении блока, полностью расположенного в пределах территории участка добычи твердых полезных ископаемых или территории, на которую имеется заявление на выдачу лицензии на добычу твердых полезных ископаемых;</w:t>
      </w:r>
    </w:p>
    <w:p w14:paraId="1FE378BB"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6) в отношении блока, полностью расположенного в пределах территории, на котором проводится ликвидация последствий разведки или добычи твердых полезных ископаемых;</w:t>
      </w:r>
    </w:p>
    <w:p w14:paraId="749B4FC2"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7) в отношении блока, полностью расположенного в пределах территории участка добычи урана.</w:t>
      </w:r>
    </w:p>
    <w:p w14:paraId="054FBDAA"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 </w:t>
      </w:r>
    </w:p>
    <w:p w14:paraId="5F2BE3B8"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Статья 187. Заявление о выдаче лицензии на разведку твердых полезных ископаемых</w:t>
      </w:r>
    </w:p>
    <w:p w14:paraId="31CBF631"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Лицо, заинтересованное в получении лицензии на разведку твердых полезных ископаемых, подает в компетентный орган заявление по установленной им форме.</w:t>
      </w:r>
    </w:p>
    <w:p w14:paraId="78B0824D"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Территория, указываемая в заявлении на выдачу лицензии на разведку твердых полезных ископаемых, не может быть более двухсот блоков.</w:t>
      </w:r>
    </w:p>
    <w:p w14:paraId="2683AF46"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 </w:t>
      </w:r>
    </w:p>
    <w:p w14:paraId="24E7C81A"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Статья 188. Рассмотрение заявления о выдаче лицензии на разведку твердых полезных ископаемых</w:t>
      </w:r>
    </w:p>
    <w:p w14:paraId="6AF465B5"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Компетентный орган рассматривает заявление в течение десяти рабочих дней со дня его поступления и при отсутствии оснований для отказа в выдаче лицензии на разведку твердых полезных ископаемых, предусмотренных подпунктами 1), 2), 3), 4), 5), 6), 7) и 8) пункта 1 статьи 190 настоящего Кодекса, а также с учетом положений пунктов 2 и 3 настоящей статьи направляет заявителю уведомление о необходимости представления обеспечения исполнения обязательств по ликвидации последствий операций по разведке твердых полезных ископаемых, предусмотренного статьей 198 настоящего Кодекса.</w:t>
      </w:r>
    </w:p>
    <w:p w14:paraId="3CEECFE8"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lastRenderedPageBreak/>
        <w:t>Уведомление должно быть размещено на интернет-ресурсе компетентного органа в течение пяти рабочих дней со дня его направления заявителю.</w:t>
      </w:r>
    </w:p>
    <w:p w14:paraId="30AADA90"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 </w:t>
      </w:r>
    </w:p>
    <w:p w14:paraId="258F93A4"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Статья 189. Приоритетность рассмотрения заявлений на выдачу лицензии на разведку твердых полезных ископаемых на один и тот же блок</w:t>
      </w:r>
    </w:p>
    <w:p w14:paraId="101FBF71"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Заявления на выдачу лицензий на разведку твердых полезных ископаемых, включающие один и тот же блок, рассматриваются компетентным органом в порядке очередности их поступления.</w:t>
      </w:r>
    </w:p>
    <w:p w14:paraId="2D0002C1"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Очередное заявление рассматривается только после отказа в выдаче лицензии по предыдущему рассмотренному заявлению.</w:t>
      </w:r>
    </w:p>
    <w:p w14:paraId="7476827F"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Компетентный орган приступает к рассмотрению очередного заявления по истечении десяти рабочих дней со дня уведомления заявителя об отказе в выдаче лицензии по предыдущему заявлению.</w:t>
      </w:r>
    </w:p>
    <w:p w14:paraId="017940EB"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 </w:t>
      </w:r>
    </w:p>
    <w:p w14:paraId="23BC37BD"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Статья 190. Отказ в выдаче лицензии на разведку твердых полезных ископаемых</w:t>
      </w:r>
    </w:p>
    <w:p w14:paraId="06B30244"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Компетентный орган отказывает в выдаче лицензии при наличии одного из следующих оснований:</w:t>
      </w:r>
    </w:p>
    <w:p w14:paraId="1C6A96F3"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заявление или прилагаемые к нему документы не соответствуют требованиям, предусмотренным настоящим Кодексом;</w:t>
      </w:r>
    </w:p>
    <w:p w14:paraId="402DB8DD"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к заявлению не приложены документы, требуемые настоящим Кодексом;</w:t>
      </w:r>
    </w:p>
    <w:p w14:paraId="3519CA8B"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3) в течение одного года до подачи заявления у заявителя или лица, прямо или косвенно контролирующего заявителя или находящегося под его контролем, компетентным органом по основаниям, предусмотренным настоящим Кодексом, была отозвана лицензия на разведку или лицензия на добычу твердых полезных ископаемых, включающая полностью или частично запрашиваемый участок недр;</w:t>
      </w:r>
    </w:p>
    <w:p w14:paraId="397C06F8"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4) запрашиваемая территория полностью относится к территории и (или) блокам, указанным в пункте 2 статьи 186 настоящего Кодекса;</w:t>
      </w:r>
    </w:p>
    <w:p w14:paraId="66243514"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5) в течение одного календарного года до подачи заявления заявитель или лицо, прямо или косвенно контролирующее заявителя или находящееся под его контролем, отказались от запрашиваемого участка недр или его части;</w:t>
      </w:r>
    </w:p>
    <w:p w14:paraId="16152A11"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6) выдача лицензии повлечет угрозу национальной безопасности страны или концентрацию прав недропользования;</w:t>
      </w:r>
    </w:p>
    <w:p w14:paraId="44FB93EF"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7) территория запрашиваемого участка недр превышает ограничение по размеру или не соответствует требованиям, установленным настоящим Кодексом;</w:t>
      </w:r>
    </w:p>
    <w:p w14:paraId="026715CA"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8) в течение пяти лет, предшествующих дате подачи заявления, заявитель или лицо, прямо или косвенно контролирующее заявителя или находящееся под его контролем, не исполнили или ненадлежащим образом исполнили обязательства по ликвидации последствий операций по недропользованию на участках недр, находившихся у них в пользовании;</w:t>
      </w:r>
    </w:p>
    <w:p w14:paraId="47BB9151"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9) несоблюдение заявителем срока представления компетентному органу надлежащего обеспечения исполнения обязательств по ликвидации последствий операций по разведке твердых полезных ископаемых в соответствии с требованиями настоящего Кодекса.</w:t>
      </w:r>
    </w:p>
    <w:p w14:paraId="01C2AD58"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 </w:t>
      </w:r>
    </w:p>
    <w:p w14:paraId="2480B614"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Статья 191. Содержание лицензии на разведку твердых полезных ископаемых</w:t>
      </w:r>
    </w:p>
    <w:p w14:paraId="78D5DE14"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Лицензия на разведку твердых полезных ископаемых помимо сведений и условий, указанных в статье 31 настоящего Кодекса, должна содержать следующие условия недропользования:</w:t>
      </w:r>
    </w:p>
    <w:p w14:paraId="3FB59AAE"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обязательство об уплате подписного бонуса и платы за пользование земельными участками (арендного платежа) в размере и порядке, которые установлены налоговым законодательством Республики Казахстан;</w:t>
      </w:r>
    </w:p>
    <w:p w14:paraId="34FBD0F7"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размер обязательства по ежегодным минимальным расходам на операции по разведке твердых полезных ископаемых;</w:t>
      </w:r>
    </w:p>
    <w:p w14:paraId="3B8C5FB5"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3) основания отзыва лицензии за нарушение обязательств.</w:t>
      </w:r>
    </w:p>
    <w:p w14:paraId="134083A4"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 </w:t>
      </w:r>
    </w:p>
    <w:p w14:paraId="2D06D8BC"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Статья 192. Ежегодные минимальные расходы на операции по разведке твердых полезных ископаемых</w:t>
      </w:r>
    </w:p>
    <w:p w14:paraId="7AB579F0"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Недропользователь, обладающий лицензией на разведку твердых полезных ископаемых, обязан соблюдать требования о ежегодных минимальных расходах на операции по разведке, установленные настоящей статьей.</w:t>
      </w:r>
    </w:p>
    <w:p w14:paraId="1F13DDA2"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Ежегодные минимальные расходы на операции по разведке устанавливаются в следующих размерах:</w:t>
      </w:r>
    </w:p>
    <w:p w14:paraId="582A43A0"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в течение каждого года с первого по третий год срока разведки включительно:</w:t>
      </w:r>
    </w:p>
    <w:p w14:paraId="68713EAB"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1200-кратного месячного расчетного показателя (3692 </w:t>
      </w:r>
      <w:proofErr w:type="spellStart"/>
      <w:r w:rsidRPr="00FE7E27">
        <w:rPr>
          <w:rFonts w:cstheme="minorHAnsi"/>
          <w:sz w:val="20"/>
          <w:szCs w:val="20"/>
        </w:rPr>
        <w:t>kzt</w:t>
      </w:r>
      <w:proofErr w:type="spellEnd"/>
      <w:r w:rsidRPr="00FE7E27">
        <w:rPr>
          <w:rFonts w:cstheme="minorHAnsi"/>
          <w:sz w:val="20"/>
          <w:szCs w:val="20"/>
        </w:rPr>
        <w:t>) при одном блоке по лицензии на разведку;</w:t>
      </w:r>
    </w:p>
    <w:p w14:paraId="5B7E1563"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1800-кратного месячного расчетного показателя при количестве блоков от двух до пяти по лицензии на разведку;</w:t>
      </w:r>
    </w:p>
    <w:p w14:paraId="0F076D0E"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2300-кратного месячного расчетного показателя при количестве блоков от шести до десяти по лицензии на разведку;</w:t>
      </w:r>
    </w:p>
    <w:p w14:paraId="2AEF6FC1"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120-кратного месячного расчетного показателя дополнительно за каждый последующий блок свыше десяти блоков по лицензии на разведку;</w:t>
      </w:r>
    </w:p>
    <w:p w14:paraId="3E9F0565"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в течение каждого года с четвертого по шестой год срока разведки включительно:</w:t>
      </w:r>
    </w:p>
    <w:p w14:paraId="759EDC10"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1200-кратного месячного расчетного показателя при одном блоке по лицензии на разведку;</w:t>
      </w:r>
    </w:p>
    <w:p w14:paraId="6A6D52FD"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2300-кратного месячного расчетного показателя при количестве блоков от двух до пяти по лицензии на разведку;</w:t>
      </w:r>
    </w:p>
    <w:p w14:paraId="7F159371"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3500-кратного месячного расчетного показателя при количестве блоков от шести до десяти по лицензии на разведку;</w:t>
      </w:r>
    </w:p>
    <w:p w14:paraId="79C64697"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180-кратного месячного расчетного показателя дополнительно за каждый последующий блок свыше десяти блоков по лицензии на разведку;</w:t>
      </w:r>
    </w:p>
    <w:p w14:paraId="468F0877"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lastRenderedPageBreak/>
        <w:t>3. При неполном последнем годе срока разведки минимальные расходы рассчитываются пропорционально за каждый полный месяц срока разведки в указанном году.</w:t>
      </w:r>
    </w:p>
    <w:p w14:paraId="78448F93"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4. При отказе от участка разведки в течение любого года разведки минимальные расходы рассчитываются пропорционально за каждый полный месяц срока разведки в указанном году.</w:t>
      </w:r>
    </w:p>
    <w:p w14:paraId="7944EC24"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5. При предоставлении для разведки участка недр, определенного неполным блоком или неполными блоками, расчет минимальных расходов производится в размере, соответствующем участку разведки, определяемому полным блоком или полными блоками.</w:t>
      </w:r>
    </w:p>
    <w:p w14:paraId="64241717"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6. Расчет минимальных расходов на операции по разведке производится на основе месячного расчетного показателя, установленного на соответствующий финансовый год законом о республиканском бюджете и действующего на 1 января отчетного года. Расчет минимальных расходов на операции по разведке производится только в отношении расходов, осуществленных по участку разведки.</w:t>
      </w:r>
    </w:p>
    <w:p w14:paraId="5796AA7D"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7. К расходам на операции по разведке твердых полезных ископаемых по отдельной лицензии относятся любые из следующих видов расходов недропользователя по участку разведки на:</w:t>
      </w:r>
    </w:p>
    <w:p w14:paraId="4A177525"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1) геологоразведочные работы: геологическое картирование, отбор проб, бурение, документирование керна, документирование образцов </w:t>
      </w:r>
      <w:proofErr w:type="spellStart"/>
      <w:r w:rsidRPr="00FE7E27">
        <w:rPr>
          <w:rFonts w:cstheme="minorHAnsi"/>
          <w:sz w:val="20"/>
          <w:szCs w:val="20"/>
        </w:rPr>
        <w:t>бескернового</w:t>
      </w:r>
      <w:proofErr w:type="spellEnd"/>
      <w:r w:rsidRPr="00FE7E27">
        <w:rPr>
          <w:rFonts w:cstheme="minorHAnsi"/>
          <w:sz w:val="20"/>
          <w:szCs w:val="20"/>
        </w:rPr>
        <w:t xml:space="preserve"> бурения, интерпретация и обработка геологических данных, петрология, планирование геологоразведочных программ, подготовка отчетов в связи с геологоразведочными работами;</w:t>
      </w:r>
    </w:p>
    <w:p w14:paraId="00F5F053"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геохимические работы: отбор геохимических проб, анализ, обработка и интерпретация геохимических данных;</w:t>
      </w:r>
    </w:p>
    <w:p w14:paraId="7611587F"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3) геофизические работы, включая наземную геофизику и </w:t>
      </w:r>
      <w:proofErr w:type="spellStart"/>
      <w:r w:rsidRPr="00FE7E27">
        <w:rPr>
          <w:rFonts w:cstheme="minorHAnsi"/>
          <w:sz w:val="20"/>
          <w:szCs w:val="20"/>
        </w:rPr>
        <w:t>аэрогеофизику</w:t>
      </w:r>
      <w:proofErr w:type="spellEnd"/>
      <w:r w:rsidRPr="00FE7E27">
        <w:rPr>
          <w:rFonts w:cstheme="minorHAnsi"/>
          <w:sz w:val="20"/>
          <w:szCs w:val="20"/>
        </w:rPr>
        <w:t>: геофизические исследования, промысловые геофизические исследования, обработка и интерпретация геофизических данных;</w:t>
      </w:r>
    </w:p>
    <w:p w14:paraId="127CF0C2"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4) работы по дистанционному зондированию: аэрофотосъемка, съемка с космоса, воспроизведение дистанционного зондирования, анализ изображений, обработка и интерпретация снимков;</w:t>
      </w:r>
    </w:p>
    <w:p w14:paraId="5E2D01CA"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5) изыскательные работы: геодезические и землеустроительные работы, нанесение координатной сетки, уточнение линий координат, их пересечения, границ участков и тому подобное;</w:t>
      </w:r>
    </w:p>
    <w:p w14:paraId="7FAA8EE0"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6) керновое бурение: алмазное бурение, подготовка подъездных дорог и буровых площадок;</w:t>
      </w:r>
    </w:p>
    <w:p w14:paraId="4D38282D"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7) </w:t>
      </w:r>
      <w:proofErr w:type="spellStart"/>
      <w:r w:rsidRPr="00FE7E27">
        <w:rPr>
          <w:rFonts w:cstheme="minorHAnsi"/>
          <w:sz w:val="20"/>
          <w:szCs w:val="20"/>
        </w:rPr>
        <w:t>бескерновое</w:t>
      </w:r>
      <w:proofErr w:type="spellEnd"/>
      <w:r w:rsidRPr="00FE7E27">
        <w:rPr>
          <w:rFonts w:cstheme="minorHAnsi"/>
          <w:sz w:val="20"/>
          <w:szCs w:val="20"/>
        </w:rPr>
        <w:t xml:space="preserve"> бурение: расходы по бурению, работы по подготовке подъездных дорог и буровых площадок;</w:t>
      </w:r>
    </w:p>
    <w:p w14:paraId="7E6A2979"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8) проведение канав, траншей, шурфов и других разведочных горных выработок: расходы по проведению горных выработок, включая аренду техники и оборудования;</w:t>
      </w:r>
    </w:p>
    <w:p w14:paraId="49C61313"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9) снабжение полевых групп: разведочная экипировка, расходные материалы и провиант, аренда техники и оборудования, горюче-смазочные материалы, износ непосредственного разведочного оборудования, оплата услуг нештатного рабочего персонала;</w:t>
      </w:r>
    </w:p>
    <w:p w14:paraId="4ED68D27"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10) проектно-конструкторские и эскизные работы: оборудование для эскизной и проектно-конструкторской работы, расходные материалы, оплата труда персонала, выполняющего эскизные и проектно-конструкторские работы;</w:t>
      </w:r>
    </w:p>
    <w:p w14:paraId="17F1F56D"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11) транспортировку: транспортные расходы, непосредственно связанные с геологоразведочными работами по твердым полезным ископаемым, проводимыми на участке разведки;</w:t>
      </w:r>
    </w:p>
    <w:p w14:paraId="38610B6C"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12) работы по разбивке полевого лагеря: разбивка и содержание полевого геологоразведочного лагеря, питание и проживание, транспортировка, услуги вертолетного транспорта;</w:t>
      </w:r>
    </w:p>
    <w:p w14:paraId="7E000A3E"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13) исследования состояния окружающей среды;</w:t>
      </w:r>
    </w:p>
    <w:p w14:paraId="6295EED2"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14) подготовку технико-экономического обоснования дальнейшей разведки или последующей разработки обнаруженного месторождения твердых полезных ископаемых;</w:t>
      </w:r>
    </w:p>
    <w:p w14:paraId="2CF7E9B3"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15) работы по ликвидации последствий разведки, рекультивации нарушенных земель;</w:t>
      </w:r>
    </w:p>
    <w:p w14:paraId="3DCD31B9"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16) разработку проектных документов для разведки по соответствующей лицензии;</w:t>
      </w:r>
    </w:p>
    <w:p w14:paraId="03F95ACE"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17) исследования по выбору технологии переработки твердых полезных ископаемых.</w:t>
      </w:r>
    </w:p>
    <w:p w14:paraId="101D4716"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8. К расходам на операции по разведке по отдельной лицензии могут относиться расходы на управленческие и административные нужды, ведение бухгалтерского учета, научные исследования, обучение персонала и другие аналогичные расходы.</w:t>
      </w:r>
    </w:p>
    <w:p w14:paraId="4E3CDDF3"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При расчете расходов на разведку доля таких расходов не должна превышать двадцать процентов от общих расходов, заявленных недропользователем в периодическом отчете.</w:t>
      </w:r>
    </w:p>
    <w:p w14:paraId="101B8DA5"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9. К расходам на разведку не могут относиться расходы на:</w:t>
      </w:r>
    </w:p>
    <w:p w14:paraId="0C15A8AB"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размещение межевых и геодезических обозначений границ участка разведки на местности, в том числе землеустроительные работы;</w:t>
      </w:r>
    </w:p>
    <w:p w14:paraId="35F464AA"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приобретение права недропользования, включая сопутствующие такому приобретению расходы;</w:t>
      </w:r>
    </w:p>
    <w:p w14:paraId="7BC69E9A"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3) научно-исследовательские работы, не связанные непосредственно с участком разведки по имеющейся лицензии;</w:t>
      </w:r>
    </w:p>
    <w:p w14:paraId="0DBF79C7"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4) компенсацию в связи с возмещением убытков собственникам и пользователям земельных участков.</w:t>
      </w:r>
    </w:p>
    <w:p w14:paraId="05AF7647"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10. В случае нарушения обязательств по минимальным расходам на разведку, предусмотренным настоящей статьей, недропользователь обязан произвести недостающие расходы и представить об этом отчет компетентному органу в срок не позднее четырех месяцев, следующих за отчетным годом.</w:t>
      </w:r>
    </w:p>
    <w:p w14:paraId="37593100"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Расходы, произведенные недропользователем в соответствии с настоящим пунктом, не учитываются в расходах текущего года.</w:t>
      </w:r>
    </w:p>
    <w:p w14:paraId="73B9911B"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 </w:t>
      </w:r>
    </w:p>
    <w:p w14:paraId="3100BD48"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Статья 193. Срок лицензии на разведку твердых полезных ископаемых</w:t>
      </w:r>
    </w:p>
    <w:p w14:paraId="046A5265"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Лицензия на разведку твердых полезных ископаемых выдается на шесть последовательных лет.</w:t>
      </w:r>
    </w:p>
    <w:p w14:paraId="7DE79AFE"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lastRenderedPageBreak/>
        <w:t>2. Срок лицензии на разведку твердых полезных ископаемых может быть однократно продлен на период до пяти последовательных лет по заявлению недропользователя.</w:t>
      </w:r>
    </w:p>
    <w:p w14:paraId="39320C38"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3. Если лицензия на разведку включает десять и более блоков, продление ее срока допускается при условии отказа недропользователя от части участка разведки, территория которой составляет не менее чем сорок процентов блоков, исчисляемых от общего количества блоков, включенных в территорию разведки при выдаче лицензии, за вычетом блоков, в пределах которых недропользователем заявлена территория для получения лицензии на добычу твердых полезных ископаемых.</w:t>
      </w:r>
    </w:p>
    <w:p w14:paraId="500B8341"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4. Заявление о продлении подается в компетентный орган по утвержденной им форме в течение шестого года действия лицензии на разведку. Заявление подлежит рассмотрению в течение пятнадцати рабочих дней со дня его подачи в компетентный орган. Если в период рассмотрения заявления срок лицензии на разведку истек, лицензия продолжает действовать в период такого рассмотрения. Исчисление срока продления лицензии на разведку начинается со дня, следующего за последним днем шестого года действия лицензии.</w:t>
      </w:r>
    </w:p>
    <w:p w14:paraId="64B73651"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5. Срок лицензии на разведку не подлежит продлению в случаях:</w:t>
      </w:r>
    </w:p>
    <w:p w14:paraId="63ABBC3B"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если заявленный срок продления не соответствует пункту 2 настоящей статьи;</w:t>
      </w:r>
    </w:p>
    <w:p w14:paraId="4E611879"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нарушения срока подачи заявления о продлении срока лицензии, предусмотренного пунктом 4 настоящей статьи;</w:t>
      </w:r>
    </w:p>
    <w:p w14:paraId="7DF4A927"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3) наличия не устраненных недропользователем нарушений условий лицензии на разведку по уплате платы за пользование земельными участками (арендных платежей) и минимальным расходам на разведку за отчетные периоды, предшествующие дате заявления о продлении;</w:t>
      </w:r>
    </w:p>
    <w:p w14:paraId="2E0A3D26"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4) невыполнения условия, предусмотренного пунктом 3 настоящей статьи.</w:t>
      </w:r>
    </w:p>
    <w:p w14:paraId="59D89792"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 </w:t>
      </w:r>
    </w:p>
    <w:p w14:paraId="653BA1CA"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Статья 194. Порядок проведения операций по разведке твердых полезных ископаемых</w:t>
      </w:r>
    </w:p>
    <w:p w14:paraId="3BBAB5D9"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В пределах участка разведки недропользователь вправе в соответствии с планом разведки проводить операции по разведке любых видов твердых полезных ископаемых с соблюдением требований экологической и промышленной безопасности.</w:t>
      </w:r>
    </w:p>
    <w:p w14:paraId="04DF1C27"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Все работы по разведке твердых полезных ископаемых подлежат документированию. В документации отражаются все сведения о работах, необходимые для достоверного изучения недр.</w:t>
      </w:r>
    </w:p>
    <w:p w14:paraId="7E47C13B"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3. При проведении операций по разведке недропользователь обязан обеспечить:</w:t>
      </w:r>
    </w:p>
    <w:p w14:paraId="21CCF610"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достоверность и сохранность всей первичной геологической информации, полученной в ходе разведки, включая данные лабораторных исследований и анализов;</w:t>
      </w:r>
    </w:p>
    <w:p w14:paraId="4F088094"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своевременность и качество ведения геологической документации (в том числе планов опробования, геологических карт и разрезов к ним, нанесения геологических контуров рудных тел, зон, зарисовок горно-разведочных выработок).</w:t>
      </w:r>
    </w:p>
    <w:p w14:paraId="14399385"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4. Выполнение гидрогеологических исследований при проведении разведки является обязательным. Оценивая ресурсы выявленной минерализации, недропользователь обязан установить ее гидрогеологические характеристики с описанием физико-химических свойств подземных вод.</w:t>
      </w:r>
    </w:p>
    <w:p w14:paraId="7FDD226A"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5. Проведение горно-вскрышных работ в целях опытно-промышленной добычи на участке разведки допускается только в случае выявления минерализации твердых полезных ископаемых. Недропользователь, выявивший минерализацию и планирующий провести указанные горно-вскрышные работы на месте ее выявления, обязан уведомить об этом уполномоченный орган по изучению недр до начала таких работ.</w:t>
      </w:r>
    </w:p>
    <w:p w14:paraId="617E3930"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Уведомление должно содержать:</w:t>
      </w:r>
    </w:p>
    <w:p w14:paraId="4264C9DE"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сведения об обнаруженных твердых полезных ископаемых (вид твердых полезных ископаемых, контуры выявленной минерализации и другие характеристики минерализации);</w:t>
      </w:r>
    </w:p>
    <w:p w14:paraId="2FA124EA"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площадь, объем и сроки планируемых горно-вскрышных работ.</w:t>
      </w:r>
    </w:p>
    <w:p w14:paraId="5411E1A0"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6. Недропользователь не вправе возводить на участке разведки капитальные сооружения, а также размещать техногенные минеральные образования горно-перерабатывающих производств.</w:t>
      </w:r>
    </w:p>
    <w:p w14:paraId="4D098EF1"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7. Извлечение горной массы и (или) перемещение почвы на участке разведки в объеме, превышающем одну тысячу кубических метров, осуществляются с разрешения уполномоченного органа в области твердых полезных ископаемых, выдаваемого по заявлению недропользователя.</w:t>
      </w:r>
    </w:p>
    <w:p w14:paraId="02BD88E6"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Заявление должно содержать указание на объем запрашиваемого превышения.</w:t>
      </w:r>
    </w:p>
    <w:p w14:paraId="3C398EC3"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К заявлению прилагаются заключение компетентного лица, подтверждающее обоснованность запрашиваемого превышения объема извлекаемой горной массы и (или) перемещаемой почвы для целей оценки ресурсов твердых полезных ископаемых, а также экологическое разрешение или заключение о результатах скрининга воздействий намечаемой деятельности, содержащее вывод об отсутствии необходимости проведения оценки воздействия на окружающую среду.</w:t>
      </w:r>
    </w:p>
    <w:p w14:paraId="072692F5"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Уполномоченный орган в области твердых полезных ископаемых в течение десяти рабочих дней со дня поступления заявления принимает решение о выдаче разрешения или отказе в выдаче разрешения. Отказ в выдаче разрешения производится в случае несоответствия заявления и прилагаемых документов требованиям настоящего пункта.</w:t>
      </w:r>
    </w:p>
    <w:p w14:paraId="6DE06963"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Недропользователь вправе приступить к извлечению горной массы и (или) перемещению почвы в объеме, превышающем одну тысячу кубических метров, только при условии представления уполномоченному органу в области твердых полезных ископаемых дополнительного обеспечения, покрывающего стоимость ликвидации последствий указанных работ.</w:t>
      </w:r>
    </w:p>
    <w:p w14:paraId="5537F77F"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Полезные ископаемые, а также иная горная порода, извлеченные недропользователем в результате разведки твердых полезных ископаемых, являются собственностью недропользователя.</w:t>
      </w:r>
    </w:p>
    <w:p w14:paraId="5F1E98C7"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lastRenderedPageBreak/>
        <w:t>8. Для целей настоящего Кодекса компетентным лицом признается физическое лицо, являющееся членом профессиональной организации, предусмотренной Казахстанским кодексом публичной отчетности о результатах геологоразведочных работ, минеральных ресурсах и минеральных запасах (Кодекс KAZRC), в соответствии с ее правилами.</w:t>
      </w:r>
    </w:p>
    <w:p w14:paraId="33D7FBBC"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Компетентным лицом также признается физическое лицо, являющееся членом иностранной профессиональной организации, признанной таковой казахстанской профессиональной организацией, предусмотренной в части первой настоящего пункта, для целей Кодекса KAZRC.</w:t>
      </w:r>
    </w:p>
    <w:p w14:paraId="7FE13548"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 </w:t>
      </w:r>
    </w:p>
    <w:p w14:paraId="7DC61120"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Статья 195. Отчетность недропользователя при проведении операций по разведке твердых полезных ископаемых</w:t>
      </w:r>
    </w:p>
    <w:p w14:paraId="328BF023"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По лицензии на разведку твердых полезных ископаемых недропользователь обязан представлять следующие периодические отчеты:</w:t>
      </w:r>
    </w:p>
    <w:p w14:paraId="3D883DC4"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отчет об исполнении лицензионных обязательств;</w:t>
      </w:r>
    </w:p>
    <w:p w14:paraId="2EB653E2"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2) отчет о приобретенных товарах, работах и услугах и доле </w:t>
      </w:r>
      <w:proofErr w:type="spellStart"/>
      <w:r w:rsidRPr="00FE7E27">
        <w:rPr>
          <w:rFonts w:cstheme="minorHAnsi"/>
          <w:sz w:val="20"/>
          <w:szCs w:val="20"/>
        </w:rPr>
        <w:t>внутристрановой</w:t>
      </w:r>
      <w:proofErr w:type="spellEnd"/>
      <w:r w:rsidRPr="00FE7E27">
        <w:rPr>
          <w:rFonts w:cstheme="minorHAnsi"/>
          <w:sz w:val="20"/>
          <w:szCs w:val="20"/>
        </w:rPr>
        <w:t xml:space="preserve"> ценности в них;</w:t>
      </w:r>
    </w:p>
    <w:p w14:paraId="23BCCA1D"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3) отчет о составе лиц и (или) организаций, прямо или косвенно контролирующих недропользователя;</w:t>
      </w:r>
    </w:p>
    <w:p w14:paraId="1CA2792D"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4) геологические отчеты.</w:t>
      </w:r>
    </w:p>
    <w:p w14:paraId="200F877F"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Периодические отчеты представляются ежегодно за предыдущий календарный год не позднее тридцатого апреля каждого года.</w:t>
      </w:r>
    </w:p>
    <w:p w14:paraId="0ECDC5F1"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Отчеты за неполный календарный год представляются за фактический период недропользования.</w:t>
      </w:r>
    </w:p>
    <w:p w14:paraId="072F67E0"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Отчеты за последний неполный календарный год периода пользования участком недр представляются не позднее двух месяцев после окончания указанного периода.</w:t>
      </w:r>
    </w:p>
    <w:p w14:paraId="40B0AE21"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3. Отчет, предусмотренный подпунктом 1) пункта 1 настоящей статьи, представляется компетентному органу в утверждаемом им порядке.</w:t>
      </w:r>
    </w:p>
    <w:p w14:paraId="5514F2D7"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Сведения о расходах по участку разведки, указанных в отчете об исполнении лицензионных обязательств, должны быть подтверждены аудитором в соответствии с Законом Республики Казахстан «Об аудиторской деятельности».</w:t>
      </w:r>
    </w:p>
    <w:p w14:paraId="1FB50D8E"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Данные сведения также признаются подтвержденными аудитором, если отдельно приведены (раскрыты) в финансовой отчетности, по которой проведен аудит.</w:t>
      </w:r>
    </w:p>
    <w:p w14:paraId="7FD5C631"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Отчеты, предусмотренные подпунктами 2) и 3) пункта 1 настоящей статьи, представляются уполномоченному органу в области твердых полезных ископаемых в утверждаемом им порядке.</w:t>
      </w:r>
    </w:p>
    <w:p w14:paraId="47213C30"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Геологические отчеты, предусмотренные подпунктом 4) пункта 1 настоящей статьи, представляются уполномоченному органу по изучению недр в утверждаемом им порядке.</w:t>
      </w:r>
    </w:p>
    <w:p w14:paraId="610ED6FA"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После прекращения действия лицензии лицо, являвшееся ее обладателем, обязано представить в уполномоченный орган по изучению недр окончательный отчет о результатах геологоразведочных работ на участке разведки не позднее трех месяцев со дня прекращения действия лицензии.</w:t>
      </w:r>
    </w:p>
    <w:p w14:paraId="115A10FC"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Геологические отчеты основываются на материалах первичной геологической информации и содержат данные о состоянии и результатах научных исследований, испытаний и изысканий в области геологии, бурения, деятельности по сбору и опробованию почвы, породы, подземных вод, минеральных образцов и так далее.</w:t>
      </w:r>
    </w:p>
    <w:p w14:paraId="474A570F"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 </w:t>
      </w:r>
    </w:p>
    <w:p w14:paraId="09FAA72E"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Статья 196. План разведки</w:t>
      </w:r>
    </w:p>
    <w:p w14:paraId="6FEC432F"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Проектным документом для проведения операций по разведке твердых полезных ископаемых является план разведки.</w:t>
      </w:r>
    </w:p>
    <w:p w14:paraId="55DA5A1C"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План разведки разрабатывается и утверждается недропользователем.</w:t>
      </w:r>
    </w:p>
    <w:p w14:paraId="34BFBDB6"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После утверждения плана разведки его копия представляется уполномоченному органу в области твердых полезных ископаемых.</w:t>
      </w:r>
    </w:p>
    <w:p w14:paraId="3ADDCB48"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Если в соответствии с экологическим законодательством Республики Казахстан операции по разведке твердых полезных ископаемых, указанные в плане разведки, требуют получения экологического разрешения или положительного заключения государственной экологической экспертизы, копия плана разведки представляется уполномоченному органу в области твердых полезных ископаемых после получения такого разрешения или, соответственно, положительного заключения государственной экологической экспертизы.</w:t>
      </w:r>
    </w:p>
    <w:p w14:paraId="69CC4CAA"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Недропользователь вправе проводить операции по разведке твердых полезных ископаемых только после представления копии плана разведки уполномоченному органу в области твердых полезных ископаемых.</w:t>
      </w:r>
    </w:p>
    <w:p w14:paraId="5DA608D9"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Проведение работ по разведке, не предусмотренных в плане разведки, представленном уполномоченному органу в области твердых полезных ископаемых, запрещается.</w:t>
      </w:r>
    </w:p>
    <w:p w14:paraId="45AE46AC"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3. В плане разведки описываются виды, методы и способы работ по разведке твердых полезных ископаемых, примерные объемы и сроки проведения работ в перспективе не менее трех последовательных лет со дня утверждения плана или внесения последних изменений по видам, методам, способам и объемам планируемых работ по разведке.</w:t>
      </w:r>
    </w:p>
    <w:p w14:paraId="49DA0628"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Состав, виды, методы и способы работ по разведке твердых полезных ископаемых, примерные объемы и сроки проведения работ в плане разведки определяются недропользователем самостоятельно в соответствии с утверждаемой инструкцией по составлению плана разведки.</w:t>
      </w:r>
    </w:p>
    <w:p w14:paraId="4C2B05EC"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Инструкция по составлению плана разведки разрабатывается и утверждается уполномоченным органом в области твердых полезных ископаемых совместно с уполномоченным органом в области охраны окружающей среды.</w:t>
      </w:r>
    </w:p>
    <w:p w14:paraId="298EFCF6"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lastRenderedPageBreak/>
        <w:t>4. В случае изменения видов, методов и (или) способов планируемых работ по разведке, а также объемов и сроков проведения работ недропользователь обязан внести соответствующие изменения в план разведки и представить копию измененного плана разведки уполномоченному органу в области твердых полезных ископаемых.</w:t>
      </w:r>
    </w:p>
    <w:p w14:paraId="6D8B351E"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Если в соответствии с экологическим законодательством Республики Казахстан данные изменения требуют получения экологического разрешения или положительного заключения государственной экологической экспертизы, измененный план разведки представляется уполномоченному органу в области твердых полезных ископаемых после получения такого разрешения или, соответственно, положительного заключения государственной экологической экспертизы.</w:t>
      </w:r>
    </w:p>
    <w:p w14:paraId="1081B23E"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 </w:t>
      </w:r>
    </w:p>
    <w:p w14:paraId="5A9FAF31"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Статья 197. Ликвидация последствий операций по разведке твердых полезных ископаемых</w:t>
      </w:r>
    </w:p>
    <w:p w14:paraId="3B10CD42"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Ликвидация последствий операций по разведке твердых полезных ископаемых проводится путем рекультивации нарушенных земель в соответствии с Земельным кодексом Республики Казахстан.</w:t>
      </w:r>
    </w:p>
    <w:p w14:paraId="0E9F2A61"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Обязательство по ликвидации последствий операций по разведке твердых полезных ископаемых на участке недр, предоставленном для добычи твердых полезных ископаемых на основании исключительного права по лицензии на разведку, включается в объем обязательства по ликвидации последствий операций по добыче.</w:t>
      </w:r>
    </w:p>
    <w:p w14:paraId="0B299712"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Лицо, право недропользования которого прекращено на участке разведки, обязано завершить ликвидацию последствий операций по разведке на таком участке не позднее шести месяцев после прекращения действия лицензии на разведку твердых полезных ископаемых.</w:t>
      </w:r>
    </w:p>
    <w:p w14:paraId="55953A1F"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По заявлению указанного лица уполномоченный орган в области твердых полезных ископаемых продлевает срок ликвидации последствий операций по разведке на период до шести месяцев со дня истечения срока, предусмотренного в части первой настоящего пункта, если проведение ликвидации было невозможно или существенно затруднено в силу погодных и (или) природно-климатических условий.</w:t>
      </w:r>
    </w:p>
    <w:p w14:paraId="58E39406"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3. Ликвидация последствий операций по разведке твердых полезных ископаемых на части участка разведки, от которой недропользователь отказался в соответствии со статьей 199 настоящего Кодекса, производится до такого отказа.</w:t>
      </w:r>
    </w:p>
    <w:p w14:paraId="2DB27F13"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4. Если недропользователь не осуществлял операции по разведке твердых полезных ископаемых на участке разведки или части участка разведки, от которого или которой недропользователь отказался, или операции проводились без нарушения земной поверхности (дна водоемов), проведение ликвидационных работ на таком участке разведки или части участка разведки не требуется.</w:t>
      </w:r>
    </w:p>
    <w:p w14:paraId="33C1CE06"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В этом случае составляется акт обследования участка разведки (части участка разведки), подтверждающий отсутствие необходимости проведения ликвидационных работ, который подписывается лицами, указанными в пункте 5 настоящей статьи.</w:t>
      </w:r>
    </w:p>
    <w:p w14:paraId="2D099904"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5. Ликвидация последствий операций по разведке на участке разведки (его части) считается завершенной со дня подписания акта ликвидации. Акт ликвидации подписывается комиссией, создаваемой соответствующим местным исполнительным органом области, города республиканского значения или столицы из его представителей и представителей уполномоченных государственных органов в области охраны окружающей среды и промышленной безопасности, и недропользователем (лицом, право недропользования которого прекращено, при его наличии). Если ликвидация осуществляется на земельном участке, находящемся в частной собственности, постоянном или долгосрочном временном возмездном землепользовании, акт ликвидации подписывается также собственником земельного участка или землепользователем.</w:t>
      </w:r>
    </w:p>
    <w:p w14:paraId="64400A50"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6. Подписание акта ликвидации последствий операций по разведке является основанием для внесения соответствующих сведений в единый кадастр государственного фонда недр в целях последующего предоставления права недропользования иным лицам.</w:t>
      </w:r>
    </w:p>
    <w:p w14:paraId="07D8936E"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 </w:t>
      </w:r>
    </w:p>
    <w:p w14:paraId="1A9C99D0"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Статья 198. Обеспечение исполнения обязательств по ликвидации последствий разведки твердых полезных ископаемых</w:t>
      </w:r>
    </w:p>
    <w:p w14:paraId="04C5728B"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Операции по разведке твердых полезных ископаемых, исполнение обязательств по ликвидации последствий которых не обеспечено в соответствии с требованиями настоящей статьи, запрещаются.</w:t>
      </w:r>
    </w:p>
    <w:p w14:paraId="25C7F7E5"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Обеспечение исполнения обязательств недропользователя по ликвидации последствий операций по разведке твердых полезных ископаемых может быть представлено в сочетании любых способов, предусмотренных настоящим Кодексом.</w:t>
      </w:r>
    </w:p>
    <w:p w14:paraId="037DC4EB"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3. Общая сумма обеспечения рассчитывается на основе количества блоков, составляющих территорию разведки твердых полезных ископаемых, и размера месячного расчетного показателя, установленного на соответствующий финансовый год законом о республиканском бюджете. Размер обеспечения за один блок определяется уполномоченным органом в области твердых полезных ископаемых по утверждаемой им методике.</w:t>
      </w:r>
    </w:p>
    <w:p w14:paraId="0AF80BBE"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Сумма обеспечения, предусмотренная настоящим пунктом, по заявлению недропользователя подлежит соразмерному уменьшению при отказе недропользователя от части участка разведки и завершении на нем ликвидации последствий разведки. Уполномоченный орган в области твердых полезных ископаемых уведомляет лицо, выдавшее обеспечение, об уменьшении суммы обеспечения в течение пяти рабочих дней со дня получения заявления от недропользователя.</w:t>
      </w:r>
    </w:p>
    <w:p w14:paraId="68E73D7B"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 </w:t>
      </w:r>
    </w:p>
    <w:p w14:paraId="0A2E8023"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Статья 199. Отказ от участка разведки твердых полезных ископаемых</w:t>
      </w:r>
    </w:p>
    <w:p w14:paraId="34F67A22"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В любое время до истечения срока лицензии на разведку твердых полезных ископаемых недропользователь вправе отказаться от всего участка разведки либо его части, письменно заявив о таком отказе в компетентный орган.</w:t>
      </w:r>
    </w:p>
    <w:p w14:paraId="6EB845C3"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lastRenderedPageBreak/>
        <w:t>Отказ от части участка разведки, предусмотренный настоящим пунктом, должен осуществляться блоками с соблюдением требований о территории участка разведки.</w:t>
      </w:r>
    </w:p>
    <w:p w14:paraId="2E593AC2"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Заявление об отказе от части участка разведки должно содержать указание на блок (блоки), подлежащий (подлежащие) исключению из лицензии на разведку.</w:t>
      </w:r>
    </w:p>
    <w:p w14:paraId="302FF420"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К заявлению об отказе от всего или части участка прилагаются:</w:t>
      </w:r>
    </w:p>
    <w:p w14:paraId="3AB54CB0"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согласие залогодержателя, если право недропользования по лицензии на разведку обременено залогом;</w:t>
      </w:r>
    </w:p>
    <w:p w14:paraId="584BC657"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акт ликвидации последствий операций по разведке либо акт обследования, составляемый в случаях, предусмотренных пунктом 4 статьи 197 настоящего Кодекса.</w:t>
      </w:r>
    </w:p>
    <w:p w14:paraId="6E04DF9A"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3. Отказ от части участка разведки влечет переоформление лицензии на разведку и является основанием для внесения соответствующих сведений в единый кадастр государственного фонда недр.</w:t>
      </w:r>
    </w:p>
    <w:p w14:paraId="4C031BA5"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 </w:t>
      </w:r>
    </w:p>
    <w:p w14:paraId="2E4856CB"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Статья 200. Отзыв лицензии на разведку твердых полезных ископаемых и его порядок</w:t>
      </w:r>
    </w:p>
    <w:p w14:paraId="28367906"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Лицензия на разведку твердых полезных ископаемых подлежит отзыву компетентным органом при наличии одного из следующих оснований:</w:t>
      </w:r>
    </w:p>
    <w:p w14:paraId="4CCD9566"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нарушение требований пункта 1 статьи 44 настоящего Кодекса, повлекшее угрозу национальной безопасности;</w:t>
      </w:r>
    </w:p>
    <w:p w14:paraId="05E94911"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нарушение условий лицензии на разведку твердых полезных ископаемых, предусмотренных статьей 191 настоящего Кодекса.</w:t>
      </w:r>
    </w:p>
    <w:p w14:paraId="61A4D0F0"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При выявлении нарушения компетентный орган письменно уведомляет об этом недропользователя.</w:t>
      </w:r>
    </w:p>
    <w:p w14:paraId="0AF07722"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3. В случае, предусмотренном подпунктом 1) пункта 1 настоящей статьи, нарушение подлежит устранению в срок не более одного года путем восстановления положения, существовавшего до нарушения, а при невозможности восстановления - путем совершения с разрешения компетентного органа иных сделок по переходу объектов, связанных с правом недропользования.</w:t>
      </w:r>
    </w:p>
    <w:p w14:paraId="46171510"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В случае совершения нарушения, предусмотренного подпунктом 2) пункта 1 настоящей статьи, недропользователь обязан устранить нарушение в течение трех месяцев со дня получения уведомления от компетентного органа.</w:t>
      </w:r>
    </w:p>
    <w:p w14:paraId="7E8FEC1D"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Недропользователь в предусмотренные настоящим пунктом сроки письменно уведомляет компетентный орган об устранении нарушений с приложением документов, подтверждающих такое устранение.</w:t>
      </w:r>
    </w:p>
    <w:p w14:paraId="7262048D"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В случае </w:t>
      </w:r>
      <w:proofErr w:type="spellStart"/>
      <w:r w:rsidRPr="00FE7E27">
        <w:rPr>
          <w:rFonts w:cstheme="minorHAnsi"/>
          <w:sz w:val="20"/>
          <w:szCs w:val="20"/>
        </w:rPr>
        <w:t>неустранения</w:t>
      </w:r>
      <w:proofErr w:type="spellEnd"/>
      <w:r w:rsidRPr="00FE7E27">
        <w:rPr>
          <w:rFonts w:cstheme="minorHAnsi"/>
          <w:sz w:val="20"/>
          <w:szCs w:val="20"/>
        </w:rPr>
        <w:t xml:space="preserve"> нарушения в установленный срок компетентный орган отзывает лицензию в соответствии с пунктом 4 настоящей статьи.</w:t>
      </w:r>
    </w:p>
    <w:p w14:paraId="35558458"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4. Отзыв лицензии производится компетентным органом путем направления письменного уведомления недропользователю об отзыве лицензии.</w:t>
      </w:r>
    </w:p>
    <w:p w14:paraId="2CC2E5D5"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Лицензия прекращает действие через три месяца со дня получения недропользователем уведомления об отзыве лицензии.</w:t>
      </w:r>
    </w:p>
    <w:p w14:paraId="4BF7E941"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5. Недропользователь вправе оспорить отзыв лицензии в порядке, предусмотренном законодательством Республики Казахстан, в течение пятнадцати рабочих дней со дня получения уведомления об отзыве лицензии. В период такого оспаривания срок, указанный в пункте 4 настоящей статьи, продлевается до вступления в силу решения, вынесенного по результатам оспаривания.</w:t>
      </w:r>
    </w:p>
    <w:p w14:paraId="00BC4A65"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6. Отзыв лицензии не допускается, если неисполнение или ненадлежащее исполнение обязанностей, послужившее основанием для отзыва лицензии, имело место по причине действия непреодолимой силы, то есть чрезвычайных и непредотвратимых при данных условиях обстоятельств (стихийных явлений, военных действий и т.п.). К таким обстоятельствам не относятся отсутствие у недропользователя технических и (или) финансовых средств, отсутствие на рынке необходимых товаров, работ или услуг, а также наложение административного взыскания.</w:t>
      </w:r>
    </w:p>
    <w:p w14:paraId="527EA7C2"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7. Лицо, лишенное лицензии на разведку в соответствии с настоящей статьей, обязано немедленно прекратить операции по недропользованию и приступить к работам по ликвидации в срок, предусмотренный настоящим Кодексом.</w:t>
      </w:r>
    </w:p>
    <w:p w14:paraId="5FF6979D"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8. Отзыв лицензии на разведку твердых полезных ископаемых является основанием для внесения сведений о соответствующем участке недр в единый кадастр государственного фонда недр.</w:t>
      </w:r>
    </w:p>
    <w:p w14:paraId="12235B0C"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 xml:space="preserve"> </w:t>
      </w:r>
    </w:p>
    <w:p w14:paraId="71689C3F" w14:textId="77777777" w:rsidR="00FE7E27" w:rsidRPr="00FE7E27" w:rsidRDefault="00FE7E27" w:rsidP="00FE7E27">
      <w:pPr>
        <w:spacing w:after="0" w:line="240" w:lineRule="auto"/>
        <w:jc w:val="both"/>
        <w:rPr>
          <w:rFonts w:cstheme="minorHAnsi"/>
          <w:i/>
          <w:iCs/>
          <w:sz w:val="20"/>
          <w:szCs w:val="20"/>
        </w:rPr>
      </w:pPr>
      <w:r w:rsidRPr="00FE7E27">
        <w:rPr>
          <w:rFonts w:cstheme="minorHAnsi"/>
          <w:i/>
          <w:iCs/>
          <w:sz w:val="20"/>
          <w:szCs w:val="20"/>
        </w:rPr>
        <w:t>Статья 201. Исключительное право на получение лицензии на добычу твердых полезных ископаемых и лицензии на использование пространства недр</w:t>
      </w:r>
    </w:p>
    <w:p w14:paraId="553F0244"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Владелец одной или нескольких лицензий на разведку твердых полезных ископаемых, участки недр которых имеют общие границы (смежные участки), обладает исключительным правом:</w:t>
      </w:r>
    </w:p>
    <w:p w14:paraId="6D46BB66"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1) на получение лицензии (лицензий) на добычу твердых полезных ископаемых на участке недр, расположенном в пределах участка разведки (смежных участков разведки), в случае обнаружения месторождения твердых полезных ископаемых, ресурсы и запасы которого подтверждены отчетом об оценке ресурсов и запасов твердых полезных ископаемых;</w:t>
      </w:r>
    </w:p>
    <w:p w14:paraId="4D9029F2"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на получение лицензии (лицензий) на добычу общераспространенных полезных ископаемых на участке недр, расположенном в пределах участка разведки (смежных участков разведки), в случае обнаружения месторождения общераспространенных полезных ископаемых, ресурсы и запасы которого подтверждены отчетом об оценке ресурсов и запасов общераспространенных полезных ископаемых;</w:t>
      </w:r>
    </w:p>
    <w:p w14:paraId="324E7194"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2. Исключительное право может быть реализовано в любое время срока действия лицензии (лицензий) на разведку.</w:t>
      </w:r>
    </w:p>
    <w:p w14:paraId="06680E2A" w14:textId="77777777" w:rsidR="00FE7E27" w:rsidRPr="00FE7E27" w:rsidRDefault="00FE7E27" w:rsidP="00FE7E27">
      <w:pPr>
        <w:spacing w:after="0" w:line="240" w:lineRule="auto"/>
        <w:jc w:val="both"/>
        <w:rPr>
          <w:rFonts w:cstheme="minorHAnsi"/>
          <w:sz w:val="20"/>
          <w:szCs w:val="20"/>
        </w:rPr>
      </w:pPr>
      <w:r w:rsidRPr="00FE7E27">
        <w:rPr>
          <w:rFonts w:cstheme="minorHAnsi"/>
          <w:sz w:val="20"/>
          <w:szCs w:val="20"/>
        </w:rPr>
        <w:t>3. Недропользователь утрачивает исключительное право при прекращении действия лицензии (лицензий) на разведку.</w:t>
      </w:r>
    </w:p>
    <w:p w14:paraId="28B43C17" w14:textId="77777777" w:rsidR="0025265F" w:rsidRPr="00FE7E27" w:rsidRDefault="0025265F" w:rsidP="00FE7E27">
      <w:pPr>
        <w:spacing w:after="0" w:line="240" w:lineRule="auto"/>
        <w:jc w:val="both"/>
        <w:rPr>
          <w:rFonts w:cstheme="minorHAnsi"/>
          <w:sz w:val="20"/>
          <w:szCs w:val="20"/>
        </w:rPr>
      </w:pPr>
    </w:p>
    <w:sectPr w:rsidR="0025265F" w:rsidRPr="00FE7E27" w:rsidSect="00A76179">
      <w:headerReference w:type="default" r:id="rId6"/>
      <w:pgSz w:w="11907" w:h="16840" w:code="9"/>
      <w:pgMar w:top="851" w:right="851" w:bottom="851" w:left="85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C61CE" w14:textId="77777777" w:rsidR="00E96E0D" w:rsidRDefault="00E96E0D" w:rsidP="00A76179">
      <w:pPr>
        <w:spacing w:after="0" w:line="240" w:lineRule="auto"/>
      </w:pPr>
      <w:r>
        <w:separator/>
      </w:r>
    </w:p>
  </w:endnote>
  <w:endnote w:type="continuationSeparator" w:id="0">
    <w:p w14:paraId="38B9F14B" w14:textId="77777777" w:rsidR="00E96E0D" w:rsidRDefault="00E96E0D" w:rsidP="00A761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368186" w14:textId="77777777" w:rsidR="00E96E0D" w:rsidRDefault="00E96E0D" w:rsidP="00A76179">
      <w:pPr>
        <w:spacing w:after="0" w:line="240" w:lineRule="auto"/>
      </w:pPr>
      <w:r>
        <w:separator/>
      </w:r>
    </w:p>
  </w:footnote>
  <w:footnote w:type="continuationSeparator" w:id="0">
    <w:p w14:paraId="08B87BE3" w14:textId="77777777" w:rsidR="00E96E0D" w:rsidRDefault="00E96E0D" w:rsidP="00A761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4351084"/>
      <w:docPartObj>
        <w:docPartGallery w:val="Page Numbers (Top of Page)"/>
        <w:docPartUnique/>
      </w:docPartObj>
    </w:sdtPr>
    <w:sdtContent>
      <w:p w14:paraId="0B8730B6" w14:textId="3D45ED26" w:rsidR="00A76179" w:rsidRDefault="00A76179" w:rsidP="00A76179">
        <w:pPr>
          <w:pStyle w:val="a4"/>
          <w:jc w:val="right"/>
        </w:pPr>
        <w:r>
          <w:fldChar w:fldCharType="begin"/>
        </w:r>
        <w:r>
          <w:instrText>PAGE   \* MERGEFORMAT</w:instrText>
        </w:r>
        <w:r>
          <w:fldChar w:fldCharType="separate"/>
        </w:r>
        <w:r>
          <w:t>2</w:t>
        </w:r>
        <w: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8DF"/>
    <w:rsid w:val="0025265F"/>
    <w:rsid w:val="004B0B32"/>
    <w:rsid w:val="006068DF"/>
    <w:rsid w:val="00A32402"/>
    <w:rsid w:val="00A76179"/>
    <w:rsid w:val="00C85035"/>
    <w:rsid w:val="00E96E0D"/>
    <w:rsid w:val="00FE7E2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8682B"/>
  <w15:chartTrackingRefBased/>
  <w15:docId w15:val="{6A13E4C8-5ED2-48B7-AC97-67089830D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c">
    <w:name w:val="pc"/>
    <w:basedOn w:val="a"/>
    <w:rsid w:val="006068DF"/>
    <w:pPr>
      <w:spacing w:after="0" w:line="240" w:lineRule="auto"/>
      <w:jc w:val="center"/>
    </w:pPr>
    <w:rPr>
      <w:rFonts w:ascii="Times New Roman" w:eastAsiaTheme="minorEastAsia" w:hAnsi="Times New Roman" w:cs="Times New Roman"/>
      <w:color w:val="000000"/>
      <w:sz w:val="24"/>
      <w:szCs w:val="24"/>
      <w:lang w:eastAsia="ru-RU"/>
    </w:rPr>
  </w:style>
  <w:style w:type="paragraph" w:customStyle="1" w:styleId="pj">
    <w:name w:val="pj"/>
    <w:basedOn w:val="a"/>
    <w:rsid w:val="006068DF"/>
    <w:pPr>
      <w:spacing w:after="0" w:line="240" w:lineRule="auto"/>
      <w:ind w:firstLine="400"/>
      <w:jc w:val="both"/>
    </w:pPr>
    <w:rPr>
      <w:rFonts w:ascii="Times New Roman" w:eastAsiaTheme="minorEastAsia" w:hAnsi="Times New Roman" w:cs="Times New Roman"/>
      <w:color w:val="000000"/>
      <w:sz w:val="24"/>
      <w:szCs w:val="24"/>
      <w:lang w:eastAsia="ru-RU"/>
    </w:rPr>
  </w:style>
  <w:style w:type="paragraph" w:customStyle="1" w:styleId="pji">
    <w:name w:val="pji"/>
    <w:basedOn w:val="a"/>
    <w:rsid w:val="006068DF"/>
    <w:pPr>
      <w:spacing w:after="0" w:line="240" w:lineRule="auto"/>
      <w:jc w:val="both"/>
    </w:pPr>
    <w:rPr>
      <w:rFonts w:ascii="Times New Roman" w:eastAsiaTheme="minorEastAsia" w:hAnsi="Times New Roman" w:cs="Times New Roman"/>
      <w:color w:val="000000"/>
      <w:sz w:val="24"/>
      <w:szCs w:val="24"/>
      <w:lang w:eastAsia="ru-RU"/>
    </w:rPr>
  </w:style>
  <w:style w:type="character" w:customStyle="1" w:styleId="s0">
    <w:name w:val="s0"/>
    <w:basedOn w:val="a0"/>
    <w:rsid w:val="006068DF"/>
    <w:rPr>
      <w:rFonts w:ascii="Times New Roman" w:hAnsi="Times New Roman" w:cs="Times New Roman" w:hint="default"/>
      <w:b w:val="0"/>
      <w:bCs w:val="0"/>
      <w:i w:val="0"/>
      <w:iCs w:val="0"/>
      <w:color w:val="000000"/>
    </w:rPr>
  </w:style>
  <w:style w:type="character" w:customStyle="1" w:styleId="s1">
    <w:name w:val="s1"/>
    <w:basedOn w:val="a0"/>
    <w:rsid w:val="006068DF"/>
    <w:rPr>
      <w:rFonts w:ascii="Times New Roman" w:hAnsi="Times New Roman" w:cs="Times New Roman" w:hint="default"/>
      <w:b/>
      <w:bCs/>
      <w:color w:val="000000"/>
    </w:rPr>
  </w:style>
  <w:style w:type="character" w:customStyle="1" w:styleId="s3">
    <w:name w:val="s3"/>
    <w:basedOn w:val="a0"/>
    <w:rsid w:val="006068DF"/>
    <w:rPr>
      <w:rFonts w:ascii="Times New Roman" w:hAnsi="Times New Roman" w:cs="Times New Roman" w:hint="default"/>
      <w:b w:val="0"/>
      <w:bCs w:val="0"/>
      <w:i/>
      <w:iCs/>
      <w:color w:val="FF0000"/>
    </w:rPr>
  </w:style>
  <w:style w:type="character" w:customStyle="1" w:styleId="s19">
    <w:name w:val="s19"/>
    <w:basedOn w:val="a0"/>
    <w:rsid w:val="006068DF"/>
    <w:rPr>
      <w:rFonts w:ascii="Times New Roman" w:hAnsi="Times New Roman" w:cs="Times New Roman" w:hint="default"/>
      <w:color w:val="008000"/>
    </w:rPr>
  </w:style>
  <w:style w:type="character" w:styleId="a3">
    <w:name w:val="Hyperlink"/>
    <w:basedOn w:val="a0"/>
    <w:uiPriority w:val="99"/>
    <w:semiHidden/>
    <w:unhideWhenUsed/>
    <w:rsid w:val="006068DF"/>
    <w:rPr>
      <w:color w:val="0000FF"/>
      <w:u w:val="single"/>
    </w:rPr>
  </w:style>
  <w:style w:type="paragraph" w:styleId="a4">
    <w:name w:val="header"/>
    <w:basedOn w:val="a"/>
    <w:link w:val="a5"/>
    <w:uiPriority w:val="99"/>
    <w:unhideWhenUsed/>
    <w:rsid w:val="00A76179"/>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A76179"/>
  </w:style>
  <w:style w:type="paragraph" w:styleId="a6">
    <w:name w:val="footer"/>
    <w:basedOn w:val="a"/>
    <w:link w:val="a7"/>
    <w:uiPriority w:val="99"/>
    <w:unhideWhenUsed/>
    <w:rsid w:val="00A76179"/>
    <w:pPr>
      <w:tabs>
        <w:tab w:val="center" w:pos="4677"/>
        <w:tab w:val="right" w:pos="9355"/>
      </w:tabs>
      <w:spacing w:after="0" w:line="240" w:lineRule="auto"/>
    </w:pPr>
  </w:style>
  <w:style w:type="character" w:customStyle="1" w:styleId="a7">
    <w:name w:val="Нижний колонтитул Знак"/>
    <w:basedOn w:val="a0"/>
    <w:link w:val="a6"/>
    <w:uiPriority w:val="99"/>
    <w:rsid w:val="00A761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7</Pages>
  <Words>5186</Words>
  <Characters>29563</Characters>
  <Application>Microsoft Office Word</Application>
  <DocSecurity>0</DocSecurity>
  <Lines>246</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 Pyatkov</dc:creator>
  <cp:keywords/>
  <dc:description/>
  <cp:lastModifiedBy>Alexandr Pyatkov</cp:lastModifiedBy>
  <cp:revision>3</cp:revision>
  <dcterms:created xsi:type="dcterms:W3CDTF">2024-10-29T02:54:00Z</dcterms:created>
  <dcterms:modified xsi:type="dcterms:W3CDTF">2024-10-29T05:24:00Z</dcterms:modified>
</cp:coreProperties>
</file>